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312" w:lineRule="auto" w:before="75"/>
        <w:ind w:left="566" w:right="426" w:firstLine="0"/>
        <w:jc w:val="center"/>
        <w:rPr>
          <w:b/>
          <w:sz w:val="32"/>
        </w:rPr>
      </w:pPr>
      <w:r>
        <w:rPr>
          <w:b/>
          <w:sz w:val="32"/>
        </w:rPr>
        <w:t>Veřejnoprávní smlouva uzavřená obcemi o výkonu přenesené působnosti v oblasti řízení o přestupcích</w:t>
      </w:r>
    </w:p>
    <w:p>
      <w:pPr>
        <w:pStyle w:val="BodyText"/>
        <w:spacing w:before="2"/>
        <w:rPr>
          <w:b/>
          <w:sz w:val="41"/>
        </w:rPr>
      </w:pPr>
    </w:p>
    <w:p>
      <w:pPr>
        <w:pStyle w:val="BodyText"/>
        <w:spacing w:line="312" w:lineRule="auto"/>
        <w:ind w:left="255" w:right="108" w:firstLine="566"/>
        <w:jc w:val="both"/>
      </w:pPr>
      <w:r>
        <w:rPr/>
        <w:t>Na  základě  usnesení  Zastupitelstva  obce  Vojkovice  ze  dne  20.  12.  2018,  č.  10,   a usnesení Rady města Ostrov ze dne 21. 1. 2019, č. 37/19, uzavírají níže uvedené smluvní strany tuto veřejnoprávní</w:t>
      </w:r>
      <w:r>
        <w:rPr>
          <w:spacing w:val="-6"/>
        </w:rPr>
        <w:t> </w:t>
      </w:r>
      <w:r>
        <w:rPr/>
        <w:t>smlouvu:</w:t>
      </w:r>
    </w:p>
    <w:p>
      <w:pPr>
        <w:pStyle w:val="BodyText"/>
        <w:spacing w:before="7"/>
        <w:rPr>
          <w:sz w:val="31"/>
        </w:rPr>
      </w:pPr>
    </w:p>
    <w:p>
      <w:pPr>
        <w:pStyle w:val="Heading1"/>
        <w:ind w:right="425"/>
      </w:pPr>
      <w:r>
        <w:rPr/>
        <w:t>Čl. I</w:t>
      </w:r>
    </w:p>
    <w:p>
      <w:pPr>
        <w:spacing w:before="84"/>
        <w:ind w:left="566" w:right="425" w:firstLine="0"/>
        <w:jc w:val="center"/>
        <w:rPr>
          <w:b/>
          <w:sz w:val="24"/>
        </w:rPr>
      </w:pPr>
      <w:r>
        <w:rPr>
          <w:b/>
          <w:sz w:val="24"/>
        </w:rPr>
        <w:t>Smluvní strany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0" w:after="0"/>
        <w:ind w:left="1204" w:right="0" w:hanging="240"/>
        <w:jc w:val="left"/>
        <w:rPr>
          <w:sz w:val="24"/>
        </w:rPr>
      </w:pPr>
      <w:r>
        <w:rPr>
          <w:sz w:val="24"/>
        </w:rPr>
        <w:t>Obec</w:t>
      </w:r>
      <w:r>
        <w:rPr>
          <w:spacing w:val="-2"/>
          <w:sz w:val="24"/>
        </w:rPr>
        <w:t> </w:t>
      </w:r>
      <w:r>
        <w:rPr>
          <w:sz w:val="24"/>
        </w:rPr>
        <w:t>Vojkovice</w:t>
      </w:r>
    </w:p>
    <w:p>
      <w:pPr>
        <w:pStyle w:val="BodyText"/>
        <w:spacing w:before="82"/>
        <w:ind w:left="256"/>
      </w:pPr>
      <w:r>
        <w:rPr/>
        <w:t>zastoupená starostou obce Lubošem Garajem</w:t>
      </w:r>
    </w:p>
    <w:p>
      <w:pPr>
        <w:pStyle w:val="BodyText"/>
        <w:spacing w:line="312" w:lineRule="auto" w:before="84"/>
        <w:ind w:left="256" w:right="1172"/>
      </w:pPr>
      <w:r>
        <w:rPr/>
        <w:t>adresa obecního úřadu: Vojkovice 57, 362 73 Vojkovice, Karlovarský kraj příslušná do správního obvodu obce s rozšířenou působností Ostrov</w:t>
      </w:r>
    </w:p>
    <w:p>
      <w:pPr>
        <w:pStyle w:val="BodyText"/>
        <w:ind w:left="256"/>
      </w:pPr>
      <w:r>
        <w:rPr/>
        <w:t>(dále jen „obec Vojkovice“)</w:t>
      </w:r>
    </w:p>
    <w:p>
      <w:pPr>
        <w:pStyle w:val="BodyText"/>
        <w:spacing w:before="4"/>
        <w:rPr>
          <w:sz w:val="38"/>
        </w:rPr>
      </w:pPr>
    </w:p>
    <w:p>
      <w:pPr>
        <w:pStyle w:val="BodyText"/>
        <w:spacing w:before="1"/>
        <w:ind w:left="144"/>
        <w:jc w:val="center"/>
      </w:pPr>
      <w:r>
        <w:rPr>
          <w:w w:val="99"/>
        </w:rPr>
        <w:t>a</w:t>
      </w:r>
    </w:p>
    <w:p>
      <w:pPr>
        <w:pStyle w:val="BodyText"/>
        <w:spacing w:before="4"/>
        <w:rPr>
          <w:sz w:val="38"/>
        </w:rPr>
      </w:pPr>
    </w:p>
    <w:p>
      <w:pPr>
        <w:pStyle w:val="ListParagraph"/>
        <w:numPr>
          <w:ilvl w:val="0"/>
          <w:numId w:val="1"/>
        </w:numPr>
        <w:tabs>
          <w:tab w:pos="1204" w:val="left" w:leader="none"/>
        </w:tabs>
        <w:spacing w:line="240" w:lineRule="auto" w:before="0" w:after="0"/>
        <w:ind w:left="1204" w:right="0" w:hanging="241"/>
        <w:jc w:val="left"/>
        <w:rPr>
          <w:sz w:val="24"/>
        </w:rPr>
      </w:pPr>
      <w:r>
        <w:rPr>
          <w:sz w:val="24"/>
        </w:rPr>
        <w:t>Město</w:t>
      </w:r>
      <w:r>
        <w:rPr>
          <w:spacing w:val="-1"/>
          <w:sz w:val="24"/>
        </w:rPr>
        <w:t> </w:t>
      </w:r>
      <w:r>
        <w:rPr>
          <w:sz w:val="24"/>
        </w:rPr>
        <w:t>Ostrov</w:t>
      </w:r>
    </w:p>
    <w:p>
      <w:pPr>
        <w:pStyle w:val="BodyText"/>
        <w:spacing w:before="82"/>
        <w:ind w:left="255"/>
      </w:pPr>
      <w:r>
        <w:rPr/>
        <w:t>zastoupené starostou města Ing. Janem Burešem</w:t>
      </w:r>
    </w:p>
    <w:p>
      <w:pPr>
        <w:pStyle w:val="BodyText"/>
        <w:spacing w:line="312" w:lineRule="auto" w:before="84"/>
        <w:ind w:left="256" w:right="2039"/>
      </w:pPr>
      <w:r>
        <w:rPr/>
        <w:t>adresa městského úřadu: Jáchymovská 1, 363 01 Ostrov, Karlovarský kraj jakožto obec s rozšířenou působností</w:t>
      </w:r>
    </w:p>
    <w:p>
      <w:pPr>
        <w:pStyle w:val="BodyText"/>
        <w:ind w:left="256"/>
      </w:pPr>
      <w:r>
        <w:rPr/>
        <w:t>(dále jen „město Ostrov“)</w:t>
      </w:r>
    </w:p>
    <w:p>
      <w:pPr>
        <w:pStyle w:val="BodyText"/>
        <w:spacing w:before="9"/>
        <w:rPr>
          <w:sz w:val="38"/>
        </w:rPr>
      </w:pPr>
    </w:p>
    <w:p>
      <w:pPr>
        <w:pStyle w:val="Heading1"/>
      </w:pPr>
      <w:r>
        <w:rPr/>
        <w:t>Čl. II</w:t>
      </w:r>
    </w:p>
    <w:p>
      <w:pPr>
        <w:spacing w:before="82"/>
        <w:ind w:left="566" w:right="423" w:firstLine="0"/>
        <w:jc w:val="center"/>
        <w:rPr>
          <w:b/>
          <w:sz w:val="24"/>
        </w:rPr>
      </w:pPr>
      <w:r>
        <w:rPr>
          <w:b/>
          <w:sz w:val="24"/>
        </w:rPr>
        <w:t>Smluvní rozsah výkonu přenesené působnosti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2"/>
        </w:numPr>
        <w:tabs>
          <w:tab w:pos="1250" w:val="left" w:leader="none"/>
        </w:tabs>
        <w:spacing w:line="312" w:lineRule="auto" w:before="0" w:after="0"/>
        <w:ind w:left="255" w:right="108" w:firstLine="566"/>
        <w:jc w:val="both"/>
        <w:rPr>
          <w:sz w:val="24"/>
        </w:rPr>
      </w:pPr>
      <w:r>
        <w:rPr>
          <w:sz w:val="24"/>
        </w:rPr>
        <w:t>Podle § 63 a 66c zákona č. 128/2000 Sb., o obcích (obecní zřízení), ve znění pozdějších předpisů, a podle § 159 a násl. zákona č. 500/2004 Sb., správní řád, ve znění pozdějších předpisů, a §  105 zákona  č. 250/2016 Sb., o odpovědnosti za přestupky a řízení   o nich, ve znění pozdějších předpisů, bude příslušný orgán města Ostrov vykonávat namísto orgánu  obce  Vojkovice  v jejím  správním   obvodu přenesenou   působnost   podle  zákona č. 250/2016 Sb., o odpovědnosti za přestupky a řízení o nich, ve znění pozdějších</w:t>
      </w:r>
      <w:r>
        <w:rPr>
          <w:spacing w:val="-13"/>
          <w:sz w:val="24"/>
        </w:rPr>
        <w:t> </w:t>
      </w:r>
      <w:r>
        <w:rPr>
          <w:sz w:val="24"/>
        </w:rPr>
        <w:t>předpisů.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2"/>
        </w:numPr>
        <w:tabs>
          <w:tab w:pos="1188" w:val="left" w:leader="none"/>
        </w:tabs>
        <w:spacing w:line="312" w:lineRule="auto" w:before="0" w:after="0"/>
        <w:ind w:left="255" w:right="110" w:firstLine="566"/>
        <w:jc w:val="both"/>
        <w:rPr>
          <w:sz w:val="24"/>
        </w:rPr>
      </w:pPr>
      <w:r>
        <w:rPr>
          <w:sz w:val="24"/>
        </w:rPr>
        <w:t>Na základě této smlouvy bude orgán města Ostrov místně příslušný správní orgán   v řízeních pro správní obvod obce</w:t>
      </w:r>
      <w:r>
        <w:rPr>
          <w:spacing w:val="-2"/>
          <w:sz w:val="24"/>
        </w:rPr>
        <w:t> </w:t>
      </w:r>
      <w:r>
        <w:rPr>
          <w:sz w:val="24"/>
        </w:rPr>
        <w:t>Vojkovice.</w:t>
      </w:r>
    </w:p>
    <w:p>
      <w:pPr>
        <w:spacing w:after="0" w:line="312" w:lineRule="auto"/>
        <w:jc w:val="both"/>
        <w:rPr>
          <w:sz w:val="24"/>
        </w:rPr>
        <w:sectPr>
          <w:footerReference w:type="default" r:id="rId5"/>
          <w:type w:val="continuous"/>
          <w:pgSz w:w="11900" w:h="16840"/>
          <w:pgMar w:footer="968" w:top="1340" w:bottom="1160" w:left="1160" w:right="1300"/>
          <w:pgNumType w:start="1"/>
        </w:sectPr>
      </w:pPr>
    </w:p>
    <w:p>
      <w:pPr>
        <w:pStyle w:val="ListParagraph"/>
        <w:numPr>
          <w:ilvl w:val="0"/>
          <w:numId w:val="2"/>
        </w:numPr>
        <w:tabs>
          <w:tab w:pos="1197" w:val="left" w:leader="none"/>
        </w:tabs>
        <w:spacing w:line="312" w:lineRule="auto" w:before="70" w:after="0"/>
        <w:ind w:left="256" w:right="110" w:firstLine="566"/>
        <w:jc w:val="left"/>
        <w:rPr>
          <w:sz w:val="24"/>
        </w:rPr>
      </w:pPr>
      <w:r>
        <w:rPr>
          <w:sz w:val="24"/>
        </w:rPr>
        <w:t>Výnos pokut, nákladů řízení a pořádkových pokut z projednaných přestupků jsou příjmem rozpočtu města</w:t>
      </w:r>
      <w:r>
        <w:rPr>
          <w:spacing w:val="-2"/>
          <w:sz w:val="24"/>
        </w:rPr>
        <w:t> </w:t>
      </w:r>
      <w:r>
        <w:rPr>
          <w:sz w:val="24"/>
        </w:rPr>
        <w:t>Ostrov.</w:t>
      </w:r>
    </w:p>
    <w:p>
      <w:pPr>
        <w:pStyle w:val="Heading1"/>
        <w:spacing w:before="5"/>
        <w:ind w:right="416"/>
      </w:pPr>
      <w:r>
        <w:rPr/>
        <w:t>Čl. III</w:t>
      </w:r>
    </w:p>
    <w:p>
      <w:pPr>
        <w:spacing w:before="84"/>
        <w:ind w:left="566" w:right="424" w:firstLine="0"/>
        <w:jc w:val="center"/>
        <w:rPr>
          <w:b/>
          <w:sz w:val="24"/>
        </w:rPr>
      </w:pPr>
      <w:r>
        <w:rPr>
          <w:b/>
          <w:sz w:val="24"/>
        </w:rPr>
        <w:t>Úhrada nákladů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3"/>
        </w:numPr>
        <w:tabs>
          <w:tab w:pos="1176" w:val="left" w:leader="none"/>
        </w:tabs>
        <w:spacing w:line="312" w:lineRule="auto" w:before="0" w:after="0"/>
        <w:ind w:left="255" w:right="110" w:firstLine="566"/>
        <w:jc w:val="both"/>
        <w:rPr>
          <w:sz w:val="24"/>
        </w:rPr>
      </w:pPr>
      <w:r>
        <w:rPr>
          <w:sz w:val="24"/>
        </w:rPr>
        <w:t>Za výkon předmětu smlouvy v určeném rozsahu poskytne obec Vojkovice ze svého rozpočtu městu Ostrov na jeho účet č. 19-920 341/0100 vedený u Komerční banky, roční příspěvek ve výši 5 000,00 Kč (slovy: pět tisíc korun českých); příspěvek se poskytne do 60 dnů ode dne uzavření této</w:t>
      </w:r>
      <w:r>
        <w:rPr>
          <w:spacing w:val="-3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3"/>
        </w:numPr>
        <w:tabs>
          <w:tab w:pos="1248" w:val="left" w:leader="none"/>
        </w:tabs>
        <w:spacing w:line="312" w:lineRule="auto" w:before="0" w:after="0"/>
        <w:ind w:left="255" w:right="107" w:firstLine="566"/>
        <w:jc w:val="both"/>
        <w:rPr>
          <w:sz w:val="24"/>
        </w:rPr>
      </w:pPr>
      <w:r>
        <w:rPr>
          <w:sz w:val="24"/>
        </w:rPr>
        <w:t>V případě, že veřejnoprávní smlouva bude platná po dobu kratší než jeden kalendářní  rok,   úhrada   nákladů   se   poskytne   v poměrné   výši,   která   odpovídá   počtu i započatých kalendářních měsíců platnosti této veřejnoprávní smlouvy, přičemž celková částka bude zaokrouhlena na celé koruny</w:t>
      </w:r>
      <w:r>
        <w:rPr>
          <w:spacing w:val="-10"/>
          <w:sz w:val="24"/>
        </w:rPr>
        <w:t> </w:t>
      </w:r>
      <w:r>
        <w:rPr>
          <w:sz w:val="24"/>
        </w:rPr>
        <w:t>nahoru.</w:t>
      </w:r>
    </w:p>
    <w:p>
      <w:pPr>
        <w:pStyle w:val="BodyText"/>
        <w:spacing w:before="8"/>
        <w:rPr>
          <w:sz w:val="31"/>
        </w:rPr>
      </w:pPr>
    </w:p>
    <w:p>
      <w:pPr>
        <w:pStyle w:val="Heading1"/>
        <w:ind w:right="415"/>
      </w:pPr>
      <w:r>
        <w:rPr/>
        <w:t>Čl. IV</w:t>
      </w:r>
    </w:p>
    <w:p>
      <w:pPr>
        <w:spacing w:before="82"/>
        <w:ind w:left="565" w:right="426" w:firstLine="0"/>
        <w:jc w:val="center"/>
        <w:rPr>
          <w:b/>
          <w:sz w:val="24"/>
        </w:rPr>
      </w:pPr>
      <w:r>
        <w:rPr>
          <w:b/>
          <w:sz w:val="24"/>
        </w:rPr>
        <w:t>Doba trvání smlouvy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4"/>
        </w:numPr>
        <w:tabs>
          <w:tab w:pos="1176" w:val="left" w:leader="none"/>
        </w:tabs>
        <w:spacing w:line="312" w:lineRule="auto" w:before="0" w:after="0"/>
        <w:ind w:left="256" w:right="107" w:firstLine="566"/>
        <w:jc w:val="both"/>
        <w:rPr>
          <w:sz w:val="24"/>
        </w:rPr>
      </w:pPr>
      <w:r>
        <w:rPr>
          <w:sz w:val="24"/>
        </w:rPr>
        <w:t>Tato smlouva se uzavírá </w:t>
      </w:r>
      <w:r>
        <w:rPr>
          <w:b/>
          <w:sz w:val="24"/>
        </w:rPr>
        <w:t>na dobu určitou </w:t>
      </w:r>
      <w:r>
        <w:rPr>
          <w:sz w:val="24"/>
        </w:rPr>
        <w:t>od jejího uzavření do 31. 12. 2019. Tato smlouva je uzavřena dnem, kdy rozhodnutí Krajského úřadu Karlovarského kraje o udělení souhlasu s uzavřením této smlouvy nabude právní</w:t>
      </w:r>
      <w:r>
        <w:rPr>
          <w:spacing w:val="-5"/>
          <w:sz w:val="24"/>
        </w:rPr>
        <w:t> </w:t>
      </w:r>
      <w:r>
        <w:rPr>
          <w:sz w:val="24"/>
        </w:rPr>
        <w:t>moci.</w:t>
      </w: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228" w:val="left" w:leader="none"/>
        </w:tabs>
        <w:spacing w:line="312" w:lineRule="auto" w:before="0" w:after="0"/>
        <w:ind w:left="255" w:right="106" w:firstLine="566"/>
        <w:jc w:val="both"/>
        <w:rPr>
          <w:sz w:val="24"/>
        </w:rPr>
      </w:pPr>
      <w:r>
        <w:rPr>
          <w:sz w:val="24"/>
        </w:rPr>
        <w:t>Smlouvu lze  vypovědět  jen  písemnou  formou.  Výpovědní  lhůta  činí  2  měsíce a počíná běžet prvním dnem následujícího</w:t>
      </w:r>
      <w:r>
        <w:rPr>
          <w:spacing w:val="-3"/>
          <w:sz w:val="24"/>
        </w:rPr>
        <w:t> </w:t>
      </w:r>
      <w:r>
        <w:rPr>
          <w:sz w:val="24"/>
        </w:rPr>
        <w:t>měsíce.</w:t>
      </w:r>
    </w:p>
    <w:p>
      <w:pPr>
        <w:pStyle w:val="BodyText"/>
        <w:spacing w:before="4"/>
        <w:rPr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226" w:val="left" w:leader="none"/>
        </w:tabs>
        <w:spacing w:line="312" w:lineRule="auto" w:before="0" w:after="0"/>
        <w:ind w:left="256" w:right="111" w:firstLine="566"/>
        <w:jc w:val="both"/>
        <w:rPr>
          <w:sz w:val="24"/>
        </w:rPr>
      </w:pPr>
      <w:r>
        <w:rPr>
          <w:sz w:val="24"/>
        </w:rPr>
        <w:t>Smlouvu lze měnit jen písemnou dohodou smluvních stran. K uzavření takové dohody je třeba souhlasu Krajského úřadu Karlovarského</w:t>
      </w:r>
      <w:r>
        <w:rPr>
          <w:spacing w:val="-7"/>
          <w:sz w:val="24"/>
        </w:rPr>
        <w:t> </w:t>
      </w:r>
      <w:r>
        <w:rPr>
          <w:sz w:val="24"/>
        </w:rPr>
        <w:t>kraje.</w:t>
      </w:r>
    </w:p>
    <w:p>
      <w:pPr>
        <w:pStyle w:val="BodyText"/>
        <w:spacing w:before="6"/>
        <w:rPr>
          <w:sz w:val="31"/>
        </w:rPr>
      </w:pPr>
    </w:p>
    <w:p>
      <w:pPr>
        <w:pStyle w:val="Heading1"/>
        <w:ind w:right="413"/>
      </w:pPr>
      <w:r>
        <w:rPr/>
        <w:t>Čl. V</w:t>
      </w:r>
    </w:p>
    <w:p>
      <w:pPr>
        <w:spacing w:before="84"/>
        <w:ind w:left="566" w:right="421" w:firstLine="0"/>
        <w:jc w:val="center"/>
        <w:rPr>
          <w:b/>
          <w:sz w:val="24"/>
        </w:rPr>
      </w:pPr>
      <w:r>
        <w:rPr>
          <w:b/>
          <w:sz w:val="24"/>
        </w:rPr>
        <w:t>Společná ustanovení</w:t>
      </w:r>
    </w:p>
    <w:p>
      <w:pPr>
        <w:pStyle w:val="BodyText"/>
        <w:rPr>
          <w:b/>
          <w:sz w:val="38"/>
        </w:rPr>
      </w:pPr>
    </w:p>
    <w:p>
      <w:pPr>
        <w:pStyle w:val="ListParagraph"/>
        <w:numPr>
          <w:ilvl w:val="0"/>
          <w:numId w:val="5"/>
        </w:numPr>
        <w:tabs>
          <w:tab w:pos="1231" w:val="left" w:leader="none"/>
        </w:tabs>
        <w:spacing w:line="312" w:lineRule="auto" w:before="0" w:after="0"/>
        <w:ind w:left="255" w:right="110" w:firstLine="566"/>
        <w:jc w:val="both"/>
        <w:rPr>
          <w:sz w:val="24"/>
        </w:rPr>
      </w:pPr>
      <w:r>
        <w:rPr>
          <w:sz w:val="24"/>
        </w:rPr>
        <w:t>Obec Vojkovice předá do 15-ti dnů ode dne uzavření smlouvy městu Ostrov veškerou spisovou agendu související s výkonem činností podle čl. II této smlouvy. Město Ostrov vede po dobu platnosti této smlouvy veškerou spisovou službu související s výkonem činností podle čl. II této</w:t>
      </w:r>
      <w:r>
        <w:rPr>
          <w:spacing w:val="-4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90" w:val="left" w:leader="none"/>
        </w:tabs>
        <w:spacing w:line="312" w:lineRule="auto" w:before="0" w:after="0"/>
        <w:ind w:left="255" w:right="111" w:firstLine="566"/>
        <w:jc w:val="both"/>
        <w:rPr>
          <w:sz w:val="24"/>
        </w:rPr>
      </w:pPr>
      <w:r>
        <w:rPr>
          <w:sz w:val="24"/>
        </w:rPr>
        <w:t>Smluvní strany zveřejní veřejnoprávní smlouvu bezodkladně po jejím uzavření na úředních deskách svých obecních úřadů nejméně po dobu 15 dnů.</w:t>
      </w:r>
    </w:p>
    <w:p>
      <w:pPr>
        <w:spacing w:after="0" w:line="312" w:lineRule="auto"/>
        <w:jc w:val="both"/>
        <w:rPr>
          <w:sz w:val="24"/>
        </w:rPr>
        <w:sectPr>
          <w:pgSz w:w="11900" w:h="16840"/>
          <w:pgMar w:header="0" w:footer="968" w:top="1340" w:bottom="1160" w:left="1160" w:right="1300"/>
        </w:sectPr>
      </w:pPr>
    </w:p>
    <w:p>
      <w:pPr>
        <w:pStyle w:val="ListParagraph"/>
        <w:numPr>
          <w:ilvl w:val="0"/>
          <w:numId w:val="5"/>
        </w:numPr>
        <w:tabs>
          <w:tab w:pos="1250" w:val="left" w:leader="none"/>
        </w:tabs>
        <w:spacing w:line="312" w:lineRule="auto" w:before="70" w:after="0"/>
        <w:ind w:left="114" w:right="110" w:firstLine="708"/>
        <w:jc w:val="left"/>
        <w:rPr>
          <w:sz w:val="24"/>
        </w:rPr>
      </w:pPr>
      <w:r>
        <w:rPr>
          <w:sz w:val="24"/>
        </w:rPr>
        <w:t>Po dobu platnosti této smlouvy vyvěsí smluvní strany na úředních deskách svých obecních úřadů informaci o uzavření této smlouvy a jejím</w:t>
      </w:r>
      <w:r>
        <w:rPr>
          <w:spacing w:val="-6"/>
          <w:sz w:val="24"/>
        </w:rPr>
        <w:t> </w:t>
      </w:r>
      <w:r>
        <w:rPr>
          <w:sz w:val="24"/>
        </w:rPr>
        <w:t>předmětu.</w:t>
      </w:r>
    </w:p>
    <w:p>
      <w:pPr>
        <w:pStyle w:val="BodyText"/>
        <w:spacing w:before="3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190" w:val="left" w:leader="none"/>
        </w:tabs>
        <w:spacing w:line="312" w:lineRule="auto" w:before="1" w:after="0"/>
        <w:ind w:left="255" w:right="105" w:firstLine="566"/>
        <w:jc w:val="both"/>
        <w:rPr>
          <w:sz w:val="24"/>
        </w:rPr>
      </w:pPr>
      <w:r>
        <w:rPr>
          <w:sz w:val="24"/>
        </w:rPr>
        <w:t>Tato smlouva se vyhotovuje ve třech stejnopisech, přičemž jeden stejnopis obdrží obec Vojkovice, jeden stejnopis obdrží město Ostrov a jeden stejnopis veřejnoprávní smlouvy s přílohou obdrží  Krajský  úřad  Karlovarského  kraje  spolu  se  žádostí  o  udělení  souhlasu s uzavřením veřejnoprávní</w:t>
      </w:r>
      <w:r>
        <w:rPr>
          <w:spacing w:val="-1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1"/>
        <w:rPr>
          <w:sz w:val="31"/>
        </w:rPr>
      </w:pPr>
    </w:p>
    <w:p>
      <w:pPr>
        <w:pStyle w:val="ListParagraph"/>
        <w:numPr>
          <w:ilvl w:val="0"/>
          <w:numId w:val="5"/>
        </w:numPr>
        <w:tabs>
          <w:tab w:pos="1216" w:val="left" w:leader="none"/>
        </w:tabs>
        <w:spacing w:line="312" w:lineRule="auto" w:before="0" w:after="0"/>
        <w:ind w:left="255" w:right="110" w:firstLine="566"/>
        <w:jc w:val="both"/>
        <w:rPr>
          <w:sz w:val="24"/>
        </w:rPr>
      </w:pPr>
      <w:r>
        <w:rPr>
          <w:sz w:val="24"/>
        </w:rPr>
        <w:t>Přílohu k této smlouvě tvoří usnesení Zastupitelstva obce Vojkovice a usnesení Rady města Ostrov o souhlasu s uzavřením této smlouvy a pravomocné rozhodnutí Krajského úřadu Karlovarského kraje o udělení souhlasu s uzavřením veřejnoprávní</w:t>
      </w:r>
      <w:r>
        <w:rPr>
          <w:spacing w:val="-7"/>
          <w:sz w:val="24"/>
        </w:rPr>
        <w:t> </w:t>
      </w:r>
      <w:r>
        <w:rPr>
          <w:sz w:val="24"/>
        </w:rPr>
        <w:t>smlouvy.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ind w:left="256"/>
      </w:pPr>
      <w:r>
        <w:rPr/>
        <w:t>V Ostrově dne 23. 1. 2019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5931" w:val="left" w:leader="none"/>
        </w:tabs>
        <w:spacing w:before="1"/>
        <w:ind w:left="255"/>
      </w:pPr>
      <w:r>
        <w:rPr/>
        <w:t>……………………………....</w:t>
        <w:tab/>
        <w:t>…………………………………..</w:t>
      </w:r>
    </w:p>
    <w:p>
      <w:pPr>
        <w:pStyle w:val="BodyText"/>
        <w:tabs>
          <w:tab w:pos="6822" w:val="left" w:leader="none"/>
        </w:tabs>
        <w:spacing w:before="84"/>
        <w:ind w:left="798"/>
      </w:pPr>
      <w:r>
        <w:rPr/>
        <w:t>Ing. Jan Bureš</w:t>
      </w:r>
      <w:r>
        <w:rPr>
          <w:spacing w:val="-5"/>
        </w:rPr>
        <w:t> </w:t>
      </w:r>
      <w:r>
        <w:rPr/>
        <w:t>v.</w:t>
      </w:r>
      <w:r>
        <w:rPr>
          <w:spacing w:val="-2"/>
        </w:rPr>
        <w:t> </w:t>
      </w:r>
      <w:r>
        <w:rPr/>
        <w:t>r.</w:t>
        <w:tab/>
        <w:t>Luboš Garaj v.</w:t>
      </w:r>
      <w:r>
        <w:rPr>
          <w:spacing w:val="1"/>
        </w:rPr>
        <w:t> </w:t>
      </w:r>
      <w:r>
        <w:rPr/>
        <w:t>r.</w:t>
      </w:r>
    </w:p>
    <w:p>
      <w:pPr>
        <w:pStyle w:val="BodyText"/>
        <w:tabs>
          <w:tab w:pos="6402" w:val="left" w:leader="none"/>
        </w:tabs>
        <w:spacing w:before="81"/>
        <w:ind w:left="675"/>
      </w:pPr>
      <w:r>
        <w:rPr/>
        <w:t>starosta</w:t>
      </w:r>
      <w:r>
        <w:rPr>
          <w:spacing w:val="-2"/>
        </w:rPr>
        <w:t> </w:t>
      </w:r>
      <w:r>
        <w:rPr/>
        <w:t>města</w:t>
      </w:r>
      <w:r>
        <w:rPr>
          <w:spacing w:val="-2"/>
        </w:rPr>
        <w:t> </w:t>
      </w:r>
      <w:r>
        <w:rPr/>
        <w:t>Ostrov</w:t>
        <w:tab/>
        <w:t>starosta obce</w:t>
      </w:r>
      <w:r>
        <w:rPr>
          <w:spacing w:val="-3"/>
        </w:rPr>
        <w:t> </w:t>
      </w:r>
      <w:r>
        <w:rPr/>
        <w:t>Vojkovice</w:t>
      </w:r>
    </w:p>
    <w:sectPr>
      <w:pgSz w:w="11900" w:h="16840"/>
      <w:pgMar w:header="0" w:footer="968" w:top="1340" w:bottom="1160" w:left="116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079895pt;margin-top:782.604309pt;width:9pt;height:13.05pt;mso-position-horizontal-relative:page;mso-position-vertical-relative:page;z-index:-25176883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256" w:hanging="40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178" w:hanging="40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096" w:hanging="40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14" w:hanging="40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32" w:hanging="40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0" w:hanging="40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68" w:hanging="40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86" w:hanging="40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04" w:hanging="408"/>
      </w:pPr>
      <w:rPr>
        <w:rFonts w:hint="default"/>
        <w:lang w:val="cs-CZ" w:eastAsia="cs-CZ" w:bidi="cs-CZ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56" w:hanging="35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178" w:hanging="353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096" w:hanging="353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14" w:hanging="353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32" w:hanging="353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0" w:hanging="353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68" w:hanging="353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86" w:hanging="353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04" w:hanging="353"/>
      </w:pPr>
      <w:rPr>
        <w:rFonts w:hint="default"/>
        <w:lang w:val="cs-CZ" w:eastAsia="cs-CZ" w:bidi="cs-CZ"/>
      </w:rPr>
    </w:lvl>
  </w:abstractNum>
  <w:abstractNum w:abstractNumId="2">
    <w:multiLevelType w:val="hybridMultilevel"/>
    <w:lvl w:ilvl="0">
      <w:start w:val="1"/>
      <w:numFmt w:val="decimal"/>
      <w:lvlText w:val="(%1)"/>
      <w:lvlJc w:val="left"/>
      <w:pPr>
        <w:ind w:left="256" w:hanging="353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178" w:hanging="353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096" w:hanging="353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14" w:hanging="353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32" w:hanging="353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0" w:hanging="353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68" w:hanging="353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86" w:hanging="353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04" w:hanging="353"/>
      </w:pPr>
      <w:rPr>
        <w:rFonts w:hint="default"/>
        <w:lang w:val="cs-CZ" w:eastAsia="cs-CZ" w:bidi="cs-CZ"/>
      </w:rPr>
    </w:lvl>
  </w:abstractNum>
  <w:abstractNum w:abstractNumId="1">
    <w:multiLevelType w:val="hybridMultilevel"/>
    <w:lvl w:ilvl="0">
      <w:start w:val="1"/>
      <w:numFmt w:val="decimal"/>
      <w:lvlText w:val="(%1)"/>
      <w:lvlJc w:val="left"/>
      <w:pPr>
        <w:ind w:left="256" w:hanging="428"/>
        <w:jc w:val="left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178" w:hanging="42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096" w:hanging="42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014" w:hanging="42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3932" w:hanging="42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4850" w:hanging="42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768" w:hanging="42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686" w:hanging="42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604" w:hanging="428"/>
      </w:pPr>
      <w:rPr>
        <w:rFonts w:hint="default"/>
        <w:lang w:val="cs-CZ" w:eastAsia="cs-CZ" w:bidi="cs-CZ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04" w:hanging="240"/>
        <w:jc w:val="lef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cs-CZ" w:eastAsia="cs-CZ" w:bidi="cs-CZ"/>
      </w:rPr>
    </w:lvl>
    <w:lvl w:ilvl="1">
      <w:start w:val="0"/>
      <w:numFmt w:val="bullet"/>
      <w:lvlText w:val="•"/>
      <w:lvlJc w:val="left"/>
      <w:pPr>
        <w:ind w:left="2024" w:hanging="240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848" w:hanging="240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672" w:hanging="240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496" w:hanging="240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320" w:hanging="240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6144" w:hanging="240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968" w:hanging="240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792" w:hanging="240"/>
      </w:pPr>
      <w:rPr>
        <w:rFonts w:hint="default"/>
        <w:lang w:val="cs-CZ" w:eastAsia="cs-CZ" w:bidi="cs-CZ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cs-CZ" w:eastAsia="cs-CZ" w:bidi="cs-CZ"/>
    </w:rPr>
  </w:style>
  <w:style w:styleId="Heading1" w:type="paragraph">
    <w:name w:val="Heading 1"/>
    <w:basedOn w:val="Normal"/>
    <w:uiPriority w:val="1"/>
    <w:qFormat/>
    <w:pPr>
      <w:ind w:left="566" w:right="423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255" w:right="110" w:firstLine="566"/>
      <w:jc w:val="both"/>
    </w:pPr>
    <w:rPr>
      <w:rFonts w:ascii="Times New Roman" w:hAnsi="Times New Roman" w:eastAsia="Times New Roman" w:cs="Times New Roman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mildorfova</dc:creator>
  <cp:keywords>()</cp:keywords>
  <dc:title>VPS_Vojkovice x Ostrov</dc:title>
  <dcterms:created xsi:type="dcterms:W3CDTF">2019-07-03T06:54:15Z</dcterms:created>
  <dcterms:modified xsi:type="dcterms:W3CDTF">2019-07-03T06:54:15Z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2019-02-27T00:00:00Z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2019-07-03T00:00:00Z</vt:filetime>
  </property>
</Properties>
</file>