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PŘÍLOHA </w:t>
            </w:r>
          </w:p>
        </w:tc>
      </w:tr>
      <w:tr w:rsidR="00F10757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4D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</w:t>
            </w:r>
          </w:p>
        </w:tc>
      </w:tr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Kč)</w:t>
            </w:r>
          </w:p>
        </w:tc>
      </w:tr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2016</w:t>
            </w:r>
          </w:p>
        </w:tc>
      </w:tr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00254843</w:t>
            </w:r>
          </w:p>
        </w:tc>
      </w:tr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Město Ostrov 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F10757">
          <w:headerReference w:type="default" r:id="rId8"/>
          <w:footerReference w:type="default" r:id="rId9"/>
          <w:pgSz w:w="16833" w:h="11903" w:orient="landscape"/>
          <w:pgMar w:top="566" w:right="566" w:bottom="566" w:left="566" w:header="566" w:footer="566" w:gutter="0"/>
          <w:cols w:space="708"/>
          <w:noEndnote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9"/>
      </w:tblGrid>
      <w:tr w:rsidR="00F10757">
        <w:trPr>
          <w:cantSplit/>
        </w:trPr>
        <w:tc>
          <w:tcPr>
            <w:tcW w:w="156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3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Účetní jednotka pokračuje v následujícím účetním období ve své činnosti, nedošlo ke změnám metody z důvodu ukončení činnosti. Účetní jednotka nemá informace o tom, že by byl porušen princip nepřetržitého trvání.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4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Došlo ke změnám metod vlivem změny předpisů k účetním metodám; prováděcí vyhlášky k zákonu o účetnictví, především č. 410/2009 Sb. s účinností od 1. 1. 2016.  V roce 2016 se změna metod týkala především průběžným vykazováním na účtech 044 a 045, které byly k 1.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1.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2016 zrušeny.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Informace o účetních metodách a obecných účetních zásadách.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Oceňování a vykazování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Zásoby – pořizovací cena, způsob účtování B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Drobný dlouhodobý majetek hmotný - v pořizovací ceně od 500 do 40 tis. Kč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Drobný dlouhodobý majetek nehmotný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- v pořizovací ceně od 500 do 60 tis. Kč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Nabyté pozemky směnou v roce 2016 byly oceněny na základě znaleckých posudků.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Jako vedlejší pořizovací výdaje dlouhodobého majetku vede účetní jednotka i náklady na žádosti a administrace dotace.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Peněžní fondy jsou účtovány rozvahově přes účet 401 a 419.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Město má účasti: s rozhodujícím vlivem a podstatným vlivem -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jsou vedeny v pořizovací ceně.</w:t>
      </w:r>
      <w:r>
        <w:rPr>
          <w:rFonts w:ascii="Arial" w:hAnsi="Arial" w:cs="Arial"/>
          <w:color w:val="000000"/>
          <w:sz w:val="17"/>
          <w:szCs w:val="17"/>
        </w:rPr>
        <w:t xml:space="preserve"> V roce 2016 u účetní jednotky nebyly finanční investice určené k obchodování.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Obec provádí odpisování na základě odpisového plánu prostřednictvím rovnoměrných měsíčních odpisů.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Ocenění reálnou hodnotou majetku určeného k prodeji, je jen v případě dosažení hranice významnosti, kterou účetní jednotka stanovila na 10 mil Kč.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Jednotlivé účetní případy účetní jednotka v průběhu roku časově nerozlišuje.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Částka jednotlivých účetních případů k časovému rozlišení pro roční období je stanovena na úrovni 100 tis. Kč s výjimkami, které se rozlišují vždy (energie) a to ve výši záloh a dále účetní jednotka časově nerozlišuje pravidelně se opakující platby s nevýznamnými ročními rozdíly.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o stavu účtů v knize podrozvahových účtů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7536"/>
        <w:gridCol w:w="314"/>
        <w:gridCol w:w="785"/>
        <w:gridCol w:w="3140"/>
        <w:gridCol w:w="3140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753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Podrozvahový</w:t>
            </w: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7850"/>
        <w:gridCol w:w="785"/>
        <w:gridCol w:w="3140"/>
        <w:gridCol w:w="3140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504 334 373,67 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490 441 129,90 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258 802,49 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261 072,97 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86 462 766,63 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71 089 421,88 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417 612 804,55 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419 090 635,05 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12 116 879,23 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12 116 879,23 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důvodou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P.IV.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293 099 433,20 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9 964 720,20 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293 099 433,20 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9 964 720,20 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65 000 000,00 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65 000 000,00 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65 000 000,00 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65 000 000,00 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472 228,80 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472 228,80 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472 228,80 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472 228,80 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732 906 035,67 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447 994 958,13 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F10757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A.5.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18 odst. 3 písm. b)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F10757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A.6.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6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 rozvahovému dni nejsou známy žádné skutečnosti, které by nebyly zachyceny v závěrce a přitom mají vliv na finanční situaci účetní jednotky.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6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F10757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8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942"/>
        <w:gridCol w:w="1413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B.3.</w:t>
            </w:r>
          </w:p>
        </w:tc>
        <w:tc>
          <w:tcPr>
            <w:tcW w:w="1507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68 odst. 3 (ČÍSLO A TEXT)</w:t>
            </w:r>
          </w:p>
        </w:tc>
      </w:tr>
      <w:tr w:rsidR="00F10757">
        <w:trPr>
          <w:cantSplit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Hladinu významnosti pro vzájemné zúčtování pohledávky a dluhů si UJ stanovila ve výši 1 mil. Kč.  V roce 2016 neproběhly žádné kompenzační operace nad tento stanovený limit.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"C.I.1. Jmění účetní jednotky" a "C.I.3. Transfery na pořízení dlouhodobého majetku"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8635"/>
        <w:gridCol w:w="3140"/>
        <w:gridCol w:w="3140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8635"/>
        <w:gridCol w:w="3140"/>
        <w:gridCol w:w="3140"/>
      </w:tblGrid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9 299 752,25-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78 328 797,13 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Počet jednotlivých věcí a souborů majetku nebo seznam tohoto majetku (ČÍSLO A 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F10757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4130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Celková výměra lesních pozemků s lesním porostem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b/>
          <w:bCs/>
          <w:color w:val="000000"/>
          <w:sz w:val="17"/>
          <w:szCs w:val="17"/>
        </w:rPr>
        <w:t>254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b/>
          <w:bCs/>
          <w:color w:val="000000"/>
          <w:sz w:val="17"/>
          <w:szCs w:val="17"/>
        </w:rPr>
        <w:t>997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,00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celkové výměry lesních pozemků s lesním porostem ve výši 57 Kč/m2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128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b/>
          <w:bCs/>
          <w:color w:val="000000"/>
          <w:sz w:val="17"/>
          <w:szCs w:val="17"/>
        </w:rPr>
        <w:t>534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b/>
          <w:bCs/>
          <w:color w:val="000000"/>
          <w:sz w:val="17"/>
          <w:szCs w:val="17"/>
        </w:rPr>
        <w:t>829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,00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Výměra lesních pozemků s lesním porostem oceněným jiným způsobem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D.5.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lesních pozemků s lesním porostem oceněným jiným způsobem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D.6.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Průměrná výše ocenění výměry lesních pozemků s lesním porostem oceněných jiným způsobem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D.7.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Komentář k ocenění lesních pozemků jiným způsobem (ČÍSLO A 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4130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roce 2016 byla opravena opravná položka (opravná položka k pohledávkám u RK) na skutečnou výši tvorby opravné položky.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Tato oprava byla zaúčtována účetním zápisem 557MD / 408 D.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213 720,02 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dále byla v roce 2016 provedena oprava k účtu 314 – krátkodobé poskytnuté zálohy na skutečnost vykázaných pohledávek RK. Tato oprava byla zaúčtována účetním zápisem 314 MD / 408 D.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1 632 046,13 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budovy Myslivna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čp. 225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9 404 100,00 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prodej bytů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52 428 990,00 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042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A2782D" w:rsidRDefault="00A2782D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č.p. 1202 š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 xml:space="preserve">atny pro sport 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>tacionář 19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>195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>987,17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>K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průmyslová zóna 4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887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986,57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atletický areá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l u ZŠ Masarykova 10.280.597,07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integrovaný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záchranný systém 17.408.952,74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parkoviště 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adn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í Lidická II. etapa 7.334.099,11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opt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ické napojení kabelů 11.151.300,00 Kč</w:t>
            </w:r>
          </w:p>
          <w:p w:rsidR="00A2782D" w:rsidRDefault="00A2782D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vzduchotechnika 1.740.868,94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komunikace Horní Ž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ďár 3.643.304,69 Kč</w:t>
            </w:r>
          </w:p>
          <w:p w:rsidR="00F10757" w:rsidRP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bezbariérový vstup na Českou poštu 1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047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212,47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Kč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76 690 308,76 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zálohy za služby spojené s užíváním bytů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22 755 431,00 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384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Výnosy příštích období - daň právnických osob placená městem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13 000 000,00 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389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Dohadné účty aktivní - dohadné položka na energie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2 035 700,00 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krátkodobé závazky - závazky vůči nesvéprávným občanů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 titulu péče o jejich bankovní účty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5 303 936,00 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 - výdaj realitní kanceláře na údržbu bytů a nebytových prostor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13 733 605,64 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ravy a udržování - u odboru majet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kové správy se jedná o výdaj na údržbu a opravu městského majetku včetně školních zařízení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28 986 412,13 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služby -výdaj realitní kanceláře za služby jako jsou především revize výtahů a podobně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4 062 285,00 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7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Ostatní služby - výdaje města jako například: komunální úklid, sběrný dvůr, čištění a údržba města, mandátní odměny, projektová dokumentace, údržba městských 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rybníků, poštovní služby, softwar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apod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57 388 984,89 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Jiné daně a poplatky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výkazu zisku a ztráty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 - u realitní kanceláře výdaje za opravy a údržbu bytů a nebytových prostor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13 733 605,64 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 -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 odbor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majetkové správy výdaj za údržbu a opravy městského majetku včetně školských zařízení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28 986 412,13 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služby - u realitní kanceláře se jedná především o revize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4 062 284,80 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služby -především se jedná o výdaj za úklid a čištění města, údržba zeleně, sběrný dvůr, příspěvek na hromadnou místní dopravu, mandátní smlouvy,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studie a projekty, školení, softwary apod.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57 337 435,09 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Jiné daně a poplatky - daň z převodu nemovitostí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1 969 230,00 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Prodaný dlouhodobý hmotný majetek - jedná se o prodej bytů - vyřazení v zůstatkových cenách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36 760 202,00 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556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7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Tvorba a zúčtování opravných položek - jedná se o zúčtování opravných položek, které byly převedeny na podrozvahu ve výši 11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919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332,15 Kč a zároveň o tvorbu nových opravných položek v hodnotě 5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119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177,64 Kč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6 800 154,51-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557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7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Náklady z vyřazených pohledávek - realitní kancelář vyřazo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vala pohledávky a převáděla na po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drozvahu ve výši 2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818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698,42 Kč a dále se vyřazovaly pohledávky z místních poplatků v hodnotě 3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486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148,99 Kč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6 304 847,41 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603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Výnosy z pronájmu - došlo k poklesu těchto výnosů oproti předešlému roku především z titulu prodeje městských bytů a to o 5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092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953,85 Kč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36 817 006,89 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peněžních tocích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změnách vlastního kapitálu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fondům účetní jednotky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Ostatní fondy - územní samosprávné celky, svazky obcí, regionální rady regionů soudržnosti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1932"/>
        <w:gridCol w:w="3140"/>
      </w:tblGrid>
      <w:tr w:rsidR="00F10757">
        <w:trPr>
          <w:cantSplit/>
        </w:trPr>
        <w:tc>
          <w:tcPr>
            <w:tcW w:w="1255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1932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6 462,34 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35 017,74 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Přebytky hospodaření z minulých let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35 017,74 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běžného roku, které nejsou určeny k využití v běžném roce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prostředků z rozpočtu během roku do účelových peněžních fondů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tvorba fondu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G.IV.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41 480,08 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F10757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G.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"A.II.3. Stavby" výkazu rozvahy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2 315 024 527,65 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474 501 723,12 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1 840 522 804,53 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1 878 577 331,04 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Bytové domy a 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430 826 526,46 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108 530 031,00 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322 296 495,46 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364 459 902,46 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 pro služby obyvatelstvu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880 598 996,32 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140 733 201,76 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739 865 794,56 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726 818 752,05 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nebytové domy a nebytové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32 559 766,60 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6 408 271,00 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26 151 495,60 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27 427 087,60 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 a veřejné osvětlení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616 948 499,63 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135 177 377,17 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481 771 122,46 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490 136 237,68 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inženýrské sítě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54 964 955,46 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12 597 535,00 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42 367 420,46 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41 958 918,68 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G.6.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299 125 783,18 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71 055 307,19 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228 070 475,99 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227 776 432,57 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94"/>
          <w:footerReference w:type="default" r:id="rId95"/>
          <w:headerReference w:type="first" r:id="rId96"/>
          <w:footerReference w:type="first" r:id="rId9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H.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"A.II.1. Pozemky" výkazu rozvahy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98"/>
          <w:footerReference w:type="default" r:id="rId99"/>
          <w:headerReference w:type="first" r:id="rId100"/>
          <w:footerReference w:type="first" r:id="rId10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156 214 688,30 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156 214 688,30 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154 788 088,27 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Stavební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7 451 219,20 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7 451 219,20 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7 451 219,20 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Zahrady, pastviny, louky, rybníky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87 662 000,19 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87 662 000,19 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87 765 293,56 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Zastavěná plocha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51 388 862,81 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51 388 862,81 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49 894 892,61 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9 712 606,10 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9 712 606,10 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9 676 682,90 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102"/>
          <w:footerReference w:type="default" r:id="rId103"/>
          <w:headerReference w:type="first" r:id="rId104"/>
          <w:footerReference w:type="first" r:id="rId10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"A.II.4. Náklady z přecenění reálnou hodnotou" výkazu zisku a ztráty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06"/>
          <w:footerReference w:type="default" r:id="rId107"/>
          <w:headerReference w:type="first" r:id="rId108"/>
          <w:footerReference w:type="first" r:id="rId10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F10757">
          <w:headerReference w:type="default" r:id="rId110"/>
          <w:footerReference w:type="default" r:id="rId111"/>
          <w:headerReference w:type="first" r:id="rId112"/>
          <w:footerReference w:type="first" r:id="rId11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J.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"B.II.4. Výnosy z přecenění reálnou hodnotou" výkazu zisku a ztráty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14"/>
          <w:footerReference w:type="default" r:id="rId115"/>
          <w:headerReference w:type="first" r:id="rId116"/>
          <w:footerReference w:type="first" r:id="rId11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1 552 674,30 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1 552 674,30 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F10757">
          <w:headerReference w:type="default" r:id="rId118"/>
          <w:footerReference w:type="default" r:id="rId119"/>
          <w:headerReference w:type="first" r:id="rId120"/>
          <w:footerReference w:type="first" r:id="rId12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poskytnutým garancím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22"/>
          <w:footerReference w:type="default" r:id="rId123"/>
          <w:headerReference w:type="first" r:id="rId124"/>
          <w:footerReference w:type="first" r:id="rId12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4915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K1.</w:t>
            </w:r>
          </w:p>
        </w:tc>
        <w:tc>
          <w:tcPr>
            <w:tcW w:w="149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Doplňující informace k poskytnutým garancím jednorázovým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4915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K2.</w:t>
            </w:r>
          </w:p>
        </w:tc>
        <w:tc>
          <w:tcPr>
            <w:tcW w:w="149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Doplňující informace k poskytnutým garancím ostatním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30" w:after="3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Poznámky k vyplnění: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4915"/>
      </w:tblGrid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sloupce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Poznámka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rejstříkem nebo živnostenským úřadem. IČ by mělo být unikátní. V tomto sloupci uvede účetní jednotka IČ osoby (účetní jednotky), v jejíž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prospěch byla garance poskytnuta.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nebo obchodní jméno účetní jednotky, v jejíž prospěch byla garance poskytnuta. Název představuje označení, pod kterým účetní jednotka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provozuje svoji činnost. Obchodním jménem účetní jednotky zapsané do obchodního rejstříku je obchodní firma.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rejstříkem nebo živnostenským úřadem. IČ by mělo být unikátní.  V tomto sloupci uvede účetní jednotka IČ účetní jednotky (účetní jednotky), za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jejíž závazek byla garance poskytnuta.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nebo obchodní jméno účetní jednotky, za jejíž závazek byla poskytnuta garance. Název představuje označení, pod kterým účetní jednotka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provozuje svoji činnost. Obchodním jménem účetní jednotky zapsáné do obchodního rejstříku je obchodní firma.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Datumem poskytnutí garance se rozumí její zachycení v podrozvaze. Okamžikem vzniku podmíněného závazku se rozumí den poskytnutí písemného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prohlášení ručitele veřiteli o ručení za závazky dlužníka vůči věřiteli (včetně podpisu avalu směnky), není-li dohodnuto jinak, podpisu záruční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listiny, schválení zákona o poskytnutí záruky Českou republikou.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Výše zajištěné pohledávky k aktuálnímu či poslednímu rozvahovému dni.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Den a měsíc účetního období, za které je sestavována účetní závěrka, a v němž došlo k plnění vyplývajícímu z garance. Plněním se rozumí realizace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garance, neboli úplné či částečné převzetí dluhu za původního dlužníka z titulu poskytnuté garance, neboť dlužník není schopen splatit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pohledávku vznikou ručiteli z realizace garance.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 uhrazené pohledávky z titulu ručení či záruky v účetním období, za které je sestavována podrozvaha.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Souhrn dosavadních plnění (úhrad realizovaných ručitelem) z titulu konkrétního ručení či záruky.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jednotka uvede číslo dle následujícího výčtu: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1 - Půjčky (zápůjčky), úvěry, návratné finanční výpomoci, 2 - Dluhové cenné papíry (včetně směnek), 3 - Přijaté vklady a depozita,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4 - Ostatní dlouhodobé závazky.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26"/>
          <w:footerReference w:type="default" r:id="rId127"/>
          <w:headerReference w:type="first" r:id="rId128"/>
          <w:footerReference w:type="first" r:id="rId12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o projektech partnerství veřejného a soukromého sektoru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30"/>
          <w:footerReference w:type="default" r:id="rId131"/>
          <w:headerReference w:type="first" r:id="rId132"/>
          <w:footerReference w:type="first" r:id="rId13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30" w:after="3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Poznámky k vyplnění: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14601"/>
      </w:tblGrid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sloupce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Poznámka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a název veřejné zakázky, jak je uveden ve Věstníku veřejných zakázek.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Podle charakteru služeb, které jsou předmětem veřejné zakázky, uvede účetní jednotka odpovídající písmenné označení z následujícího výčtu: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 - Dopravní infrastruktura, B - Vzdělávání a související služby, C - Vodovody, kanalizace a nakládání s odpady, D - Sociální služby,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 - Zdravotnické služby, F - Teplo, energie, G - Ostatní.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 až 7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Předpokládaný nebo skutečný rok zahájení a rok ukončení stavby, pokud je stavba součástí předmětné veřejné zakázky.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 až 12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Skutečné náklady dodavatele na pořízení majetku v jednotlivých letech.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Skutečné náklady na pořízení majetku v celkové výši od uzavření smlouvy.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14 a 15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Rok zahájení a rok ukončení plateb poskytovaných účetní jednotkou dodavateli.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16,18,20,22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Celkové platby za dostupnost hrazené účetní jednotkou dodavateli. Obvykle zahrnují tak zvanou servisní složku, úhradu nákladů na pořízení majetku,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úhradu nákladů na externí dluhové financování a další.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17,19,21,23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Investiční složka platby za dostupnost, neboli výdaje na pořízení majetku v jednotlivých letech.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Celkové výdaje na pořízení majetku v platbách za dostupnost.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25 až 29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Další plnění zadavatele v souvislosti s projektem (například nákup pozemků, úvěr poskytnutý dodavateli a další).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34"/>
          <w:footerReference w:type="default" r:id="rId135"/>
          <w:headerReference w:type="first" r:id="rId136"/>
          <w:footerReference w:type="first" r:id="rId13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9"/>
        <w:gridCol w:w="7850"/>
      </w:tblGrid>
      <w:tr w:rsidR="00F10757">
        <w:trPr>
          <w:cantSplit/>
        </w:trPr>
        <w:tc>
          <w:tcPr>
            <w:tcW w:w="156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Okamžik sestavení (datum, čas): 22.02.2017, 09:51:01</w:t>
            </w:r>
          </w:p>
        </w:tc>
      </w:tr>
      <w:tr w:rsidR="00F10757">
        <w:trPr>
          <w:cantSplit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Podpis statutárního orgánu: Bc. Pavel Čekan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Podpis odpovědné osoby za účetnictví: Olga Fricová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9"/>
        <w:gridCol w:w="7850"/>
      </w:tblGrid>
      <w:tr w:rsidR="00F10757">
        <w:trPr>
          <w:cantSplit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tcMar>
              <w:bottom w:w="10" w:type="dxa"/>
            </w:tcMar>
            <w:vAlign w:val="bottom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bottom w:w="10" w:type="dxa"/>
            </w:tcMar>
            <w:vAlign w:val="bottom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.........................................................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F10757">
      <w:headerReference w:type="default" r:id="rId138"/>
      <w:footerReference w:type="default" r:id="rId139"/>
      <w:headerReference w:type="first" r:id="rId140"/>
      <w:footerReference w:type="first" r:id="rId141"/>
      <w:type w:val="continuous"/>
      <w:pgSz w:w="16833" w:h="11903" w:orient="landscape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11" w:rsidRDefault="00F75411">
      <w:pPr>
        <w:spacing w:after="0" w:line="240" w:lineRule="auto"/>
      </w:pPr>
      <w:r>
        <w:separator/>
      </w:r>
    </w:p>
  </w:endnote>
  <w:endnote w:type="continuationSeparator" w:id="0">
    <w:p w:rsidR="00F75411" w:rsidRDefault="00F7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11" w:rsidRDefault="00F75411">
      <w:pPr>
        <w:spacing w:after="0" w:line="240" w:lineRule="auto"/>
      </w:pPr>
      <w:r>
        <w:separator/>
      </w:r>
    </w:p>
  </w:footnote>
  <w:footnote w:type="continuationSeparator" w:id="0">
    <w:p w:rsidR="00F75411" w:rsidRDefault="00F7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6 (TEXT)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C.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"C.I.1. Jmění účetní jednotky" a "C.I.3. Transfery na pořízení dlouhodobého majetku"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4"/>
      <w:gridCol w:w="8635"/>
      <w:gridCol w:w="3140"/>
      <w:gridCol w:w="3140"/>
    </w:tblGrid>
    <w:tr w:rsidR="00F10757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78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3"/>
      <w:gridCol w:w="2512"/>
      <w:gridCol w:w="1099"/>
      <w:gridCol w:w="11775"/>
    </w:tblGrid>
    <w:tr w:rsidR="00F10757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PŘÍLOHA </w:t>
          </w:r>
        </w:p>
      </w:tc>
    </w:tr>
    <w:tr w:rsidR="00F10757">
      <w:trPr>
        <w:cantSplit/>
      </w:trPr>
      <w:tc>
        <w:tcPr>
          <w:tcW w:w="313" w:type="dxa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F10757" w:rsidRDefault="004D09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</w:t>
          </w:r>
        </w:p>
      </w:tc>
    </w:tr>
    <w:tr w:rsidR="00F10757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2016</w:t>
          </w:r>
        </w:p>
      </w:tc>
    </w:tr>
    <w:tr w:rsidR="00F10757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00254843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Počet jednotlivých věcí a souborů majetku nebo seznam tohoto majetku (ČÍSLO A TEXT)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(TEXT)</w:t>
          </w: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E.2.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výkazu zisku a ztráty (TEXT)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E.3.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přehledu o peněžních tocích (TEXT)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E.4.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přehledu o změnách vlastního kapitálu (TEXT)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F.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fondům účetní jednotky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1932"/>
      <w:gridCol w:w="3140"/>
    </w:tblGrid>
    <w:tr w:rsidR="00F10757">
      <w:trPr>
        <w:cantSplit/>
      </w:trPr>
      <w:tc>
        <w:tcPr>
          <w:tcW w:w="1255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4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3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G.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"A.II.3. Stavby" výkazu rozvahy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6280"/>
      <w:gridCol w:w="2198"/>
      <w:gridCol w:w="2198"/>
      <w:gridCol w:w="2198"/>
      <w:gridCol w:w="2198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2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6280"/>
      <w:gridCol w:w="2198"/>
      <w:gridCol w:w="2198"/>
      <w:gridCol w:w="2198"/>
      <w:gridCol w:w="2198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2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"A.II.4. Náklady z přecenění reálnou hodnotou" výkazu zisku a ztráty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8792"/>
      <w:gridCol w:w="3140"/>
      <w:gridCol w:w="3140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8792"/>
      <w:gridCol w:w="3140"/>
      <w:gridCol w:w="3140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A.4.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5 zákona o stavu účtů v knize podrozvahových účtů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4"/>
      <w:gridCol w:w="7536"/>
      <w:gridCol w:w="314"/>
      <w:gridCol w:w="785"/>
      <w:gridCol w:w="3140"/>
      <w:gridCol w:w="3140"/>
    </w:tblGrid>
    <w:tr w:rsidR="00F10757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753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09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Podrozvahový</w:t>
          </w: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784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7850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K.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poskytnutým garancím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L.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o projektech partnerství veřejného a soukromého sektoru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082"/>
    <w:multiLevelType w:val="hybridMultilevel"/>
    <w:tmpl w:val="775A32C4"/>
    <w:lvl w:ilvl="0" w:tplc="7F7EA146">
      <w:start w:val="12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BB"/>
    <w:rsid w:val="004D095B"/>
    <w:rsid w:val="00517298"/>
    <w:rsid w:val="007519E5"/>
    <w:rsid w:val="00A2782D"/>
    <w:rsid w:val="00F10757"/>
    <w:rsid w:val="00F75411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5E9104E-B60C-4FE1-8F24-C54B1CBD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63" Type="http://schemas.openxmlformats.org/officeDocument/2006/relationships/footer" Target="footer28.xml"/><Relationship Id="rId84" Type="http://schemas.openxmlformats.org/officeDocument/2006/relationships/header" Target="header39.xml"/><Relationship Id="rId138" Type="http://schemas.openxmlformats.org/officeDocument/2006/relationships/header" Target="header66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footer" Target="footer58.xml"/><Relationship Id="rId128" Type="http://schemas.openxmlformats.org/officeDocument/2006/relationships/header" Target="header61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113" Type="http://schemas.openxmlformats.org/officeDocument/2006/relationships/footer" Target="footer53.xml"/><Relationship Id="rId118" Type="http://schemas.openxmlformats.org/officeDocument/2006/relationships/header" Target="header56.xml"/><Relationship Id="rId134" Type="http://schemas.openxmlformats.org/officeDocument/2006/relationships/header" Target="header64.xml"/><Relationship Id="rId139" Type="http://schemas.openxmlformats.org/officeDocument/2006/relationships/footer" Target="footer66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footer" Target="footer26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24" Type="http://schemas.openxmlformats.org/officeDocument/2006/relationships/header" Target="header59.xml"/><Relationship Id="rId129" Type="http://schemas.openxmlformats.org/officeDocument/2006/relationships/footer" Target="footer61.xml"/><Relationship Id="rId54" Type="http://schemas.openxmlformats.org/officeDocument/2006/relationships/header" Target="header24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40" Type="http://schemas.openxmlformats.org/officeDocument/2006/relationships/header" Target="header6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49" Type="http://schemas.openxmlformats.org/officeDocument/2006/relationships/footer" Target="footer21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44" Type="http://schemas.openxmlformats.org/officeDocument/2006/relationships/header" Target="header19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130" Type="http://schemas.openxmlformats.org/officeDocument/2006/relationships/header" Target="header62.xml"/><Relationship Id="rId135" Type="http://schemas.openxmlformats.org/officeDocument/2006/relationships/footer" Target="footer64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footer" Target="footer5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9.xml"/><Relationship Id="rId141" Type="http://schemas.openxmlformats.org/officeDocument/2006/relationships/footer" Target="footer67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131" Type="http://schemas.openxmlformats.org/officeDocument/2006/relationships/footer" Target="footer62.xml"/><Relationship Id="rId136" Type="http://schemas.openxmlformats.org/officeDocument/2006/relationships/header" Target="header65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26" Type="http://schemas.openxmlformats.org/officeDocument/2006/relationships/header" Target="header60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footer" Target="footer9.xml"/><Relationship Id="rId46" Type="http://schemas.openxmlformats.org/officeDocument/2006/relationships/header" Target="header20.xml"/><Relationship Id="rId67" Type="http://schemas.openxmlformats.org/officeDocument/2006/relationships/footer" Target="footer30.xml"/><Relationship Id="rId116" Type="http://schemas.openxmlformats.org/officeDocument/2006/relationships/header" Target="header55.xml"/><Relationship Id="rId137" Type="http://schemas.openxmlformats.org/officeDocument/2006/relationships/footer" Target="footer65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62" Type="http://schemas.openxmlformats.org/officeDocument/2006/relationships/header" Target="header28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111" Type="http://schemas.openxmlformats.org/officeDocument/2006/relationships/footer" Target="footer52.xml"/><Relationship Id="rId132" Type="http://schemas.openxmlformats.org/officeDocument/2006/relationships/header" Target="header63.xml"/><Relationship Id="rId15" Type="http://schemas.openxmlformats.org/officeDocument/2006/relationships/footer" Target="footer4.xml"/><Relationship Id="rId36" Type="http://schemas.openxmlformats.org/officeDocument/2006/relationships/header" Target="header15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27" Type="http://schemas.openxmlformats.org/officeDocument/2006/relationships/footer" Target="footer60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52" Type="http://schemas.openxmlformats.org/officeDocument/2006/relationships/header" Target="header23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122" Type="http://schemas.openxmlformats.org/officeDocument/2006/relationships/header" Target="header58.xm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eader" Target="header10.xml"/><Relationship Id="rId47" Type="http://schemas.openxmlformats.org/officeDocument/2006/relationships/footer" Target="footer20.xml"/><Relationship Id="rId68" Type="http://schemas.openxmlformats.org/officeDocument/2006/relationships/header" Target="header31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33" Type="http://schemas.openxmlformats.org/officeDocument/2006/relationships/footer" Target="footer63.xml"/><Relationship Id="rId16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stiborova</dc:creator>
  <cp:keywords/>
  <dc:description/>
  <cp:lastModifiedBy>IT Ostrov</cp:lastModifiedBy>
  <cp:revision>2</cp:revision>
  <dcterms:created xsi:type="dcterms:W3CDTF">2023-01-23T14:44:00Z</dcterms:created>
  <dcterms:modified xsi:type="dcterms:W3CDTF">2023-01-23T14:44:00Z</dcterms:modified>
</cp:coreProperties>
</file>